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0CCC" w:rsidRPr="00DC0CCC" w:rsidRDefault="00DC0CCC" w:rsidP="00DC0CCC">
      <w:pPr>
        <w:keepNext/>
        <w:spacing w:before="100" w:beforeAutospacing="1" w:after="100" w:afterAutospacing="1" w:line="240" w:lineRule="auto"/>
        <w:outlineLvl w:val="0"/>
        <w:rPr>
          <w:rFonts w:ascii="inherit" w:eastAsia="Times New Roman" w:hAnsi="inherit" w:cs="Arial"/>
          <w:b/>
          <w:bCs/>
          <w:color w:val="005A9C"/>
          <w:kern w:val="36"/>
          <w:sz w:val="41"/>
          <w:szCs w:val="41"/>
        </w:rPr>
      </w:pPr>
      <w:r w:rsidRPr="00DC0CCC">
        <w:rPr>
          <w:rFonts w:ascii="inherit" w:eastAsia="Times New Roman" w:hAnsi="inherit" w:cs="Arial"/>
          <w:b/>
          <w:bCs/>
          <w:color w:val="005A9C"/>
          <w:kern w:val="36"/>
          <w:sz w:val="41"/>
          <w:szCs w:val="41"/>
        </w:rPr>
        <w:t>Providing Custom Control Key Handling for Keyboard Functionality in Silverlight</w:t>
      </w:r>
    </w:p>
    <w:p w:rsidR="00DC0CCC" w:rsidRPr="00DC0CCC" w:rsidRDefault="00DC0CCC" w:rsidP="00DC0CCC">
      <w:pPr>
        <w:keepNext/>
        <w:pBdr>
          <w:bottom w:val="single" w:sz="6" w:space="3" w:color="666666"/>
        </w:pBdr>
        <w:spacing w:before="100" w:beforeAutospacing="1" w:after="100" w:afterAutospacing="1" w:line="240" w:lineRule="auto"/>
        <w:outlineLvl w:val="1"/>
        <w:rPr>
          <w:rFonts w:ascii="inherit" w:eastAsia="Times New Roman" w:hAnsi="inherit" w:cs="Arial"/>
          <w:b/>
          <w:bCs/>
          <w:color w:val="000000"/>
          <w:sz w:val="31"/>
          <w:szCs w:val="31"/>
        </w:rPr>
      </w:pPr>
      <w:r w:rsidRPr="00DC0CCC">
        <w:rPr>
          <w:rFonts w:ascii="inherit" w:eastAsia="Times New Roman" w:hAnsi="inherit" w:cs="Arial"/>
          <w:b/>
          <w:bCs/>
          <w:color w:val="000000"/>
          <w:sz w:val="31"/>
          <w:szCs w:val="31"/>
        </w:rPr>
        <w:t>Description</w:t>
      </w:r>
    </w:p>
    <w:p w:rsidR="00DC0CCC" w:rsidRPr="00DC0CCC" w:rsidRDefault="00DC0CCC" w:rsidP="00DC0CCC">
      <w:pPr>
        <w:spacing w:before="240" w:after="240" w:line="240" w:lineRule="auto"/>
        <w:ind w:left="240"/>
        <w:rPr>
          <w:rFonts w:ascii="Arial" w:eastAsia="Times New Roman" w:hAnsi="Arial" w:cs="Arial"/>
          <w:color w:val="000000"/>
          <w:sz w:val="24"/>
          <w:szCs w:val="24"/>
        </w:rPr>
      </w:pPr>
      <w:r w:rsidRPr="00DC0CCC">
        <w:rPr>
          <w:rFonts w:ascii="Arial" w:eastAsia="Times New Roman" w:hAnsi="Arial" w:cs="Arial"/>
          <w:color w:val="000000"/>
          <w:sz w:val="24"/>
          <w:szCs w:val="24"/>
        </w:rPr>
        <w:t xml:space="preserve">The objective of this technique is to implement built-in handling of key events in a custom control. If a custom control is correctly implemented, then any Silverlight applications that include the control can rely on the built-in key handling for some or all of the desired keyboard equivalence of a control's functionality. </w:t>
      </w:r>
    </w:p>
    <w:p w:rsidR="00DC0CCC" w:rsidRPr="00DC0CCC" w:rsidRDefault="00DC0CCC" w:rsidP="00DC0CCC">
      <w:pPr>
        <w:spacing w:before="240" w:after="240" w:line="240" w:lineRule="auto"/>
        <w:ind w:left="240"/>
        <w:rPr>
          <w:rFonts w:ascii="Arial" w:eastAsia="Times New Roman" w:hAnsi="Arial" w:cs="Arial"/>
          <w:color w:val="000000"/>
          <w:sz w:val="24"/>
          <w:szCs w:val="24"/>
        </w:rPr>
      </w:pPr>
      <w:r w:rsidRPr="00DC0CCC">
        <w:rPr>
          <w:rFonts w:ascii="Arial" w:eastAsia="Times New Roman" w:hAnsi="Arial" w:cs="Arial"/>
          <w:color w:val="000000"/>
          <w:sz w:val="24"/>
          <w:szCs w:val="24"/>
        </w:rPr>
        <w:t xml:space="preserve">Defining a custom control requires that the control author write a default template for the control and also the initialization logic, including the default implementations for built-in keyboard equivalence. Typically, control authors provide keyboard equivalence for any actions that can be activated by a mouse click on the control surface, and that are not already providing a keyboard equivalence through the implementation of a composite part. </w:t>
      </w:r>
    </w:p>
    <w:p w:rsidR="00DC0CCC" w:rsidRPr="00DC0CCC" w:rsidRDefault="00DC0CCC" w:rsidP="00DC0CCC">
      <w:pPr>
        <w:spacing w:before="240" w:after="240" w:line="240" w:lineRule="auto"/>
        <w:ind w:left="240"/>
        <w:rPr>
          <w:rFonts w:ascii="Arial" w:eastAsia="Times New Roman" w:hAnsi="Arial" w:cs="Arial"/>
          <w:color w:val="000000"/>
          <w:sz w:val="24"/>
          <w:szCs w:val="24"/>
        </w:rPr>
      </w:pPr>
      <w:r w:rsidRPr="00DC0CCC">
        <w:rPr>
          <w:rFonts w:ascii="Arial" w:eastAsia="Times New Roman" w:hAnsi="Arial" w:cs="Arial"/>
          <w:color w:val="000000"/>
          <w:sz w:val="24"/>
          <w:szCs w:val="24"/>
        </w:rPr>
        <w:t xml:space="preserve">All input events report a specific source that is communicated to handler code as an event parameter, so that the application author can identify which element in their Silverlight UI was being interacted with, and the application can perform an action that is relevant to that user input. In the case of mouse events, the event source is the element that the mouse pointer is over at the time. In the case of key events, the event source is the element that has focus. The element that has focus is visually indicated so that the user knows which element they are interacting with (see </w:t>
      </w:r>
      <w:hyperlink r:id="rId6" w:history="1">
        <w:r w:rsidRPr="00DC0CCC">
          <w:rPr>
            <w:rFonts w:ascii="Arial" w:eastAsia="Times New Roman" w:hAnsi="Arial" w:cs="Arial"/>
            <w:i/>
            <w:iCs/>
            <w:color w:val="0000FF"/>
            <w:sz w:val="24"/>
            <w:szCs w:val="24"/>
            <w:u w:val="single"/>
          </w:rPr>
          <w:t>SL2: Changing The Visual Focus Indicator in Silverlight</w:t>
        </w:r>
      </w:hyperlink>
      <w:r w:rsidRPr="00DC0CCC">
        <w:rPr>
          <w:rFonts w:ascii="Arial" w:eastAsia="Times New Roman" w:hAnsi="Arial" w:cs="Arial"/>
          <w:color w:val="000000"/>
          <w:sz w:val="24"/>
          <w:szCs w:val="24"/>
        </w:rPr>
        <w:t xml:space="preserve">). Assistive technologies often have parallel conventions whereby the user is made aware of which element is visually focused and is the current input scope presented by the assistive technology. </w:t>
      </w:r>
    </w:p>
    <w:p w:rsidR="00DC0CCC" w:rsidRPr="00DC0CCC" w:rsidRDefault="00DC0CCC" w:rsidP="00DC0CCC">
      <w:pPr>
        <w:keepNext/>
        <w:spacing w:before="100" w:beforeAutospacing="1" w:after="0" w:line="240" w:lineRule="auto"/>
        <w:outlineLvl w:val="3"/>
        <w:rPr>
          <w:rFonts w:ascii="inherit" w:eastAsia="Times New Roman" w:hAnsi="inherit" w:cs="Arial"/>
          <w:b/>
          <w:bCs/>
          <w:color w:val="000000"/>
          <w:sz w:val="24"/>
          <w:szCs w:val="24"/>
        </w:rPr>
      </w:pPr>
      <w:r w:rsidRPr="00DC0CCC">
        <w:rPr>
          <w:rFonts w:ascii="inherit" w:eastAsia="Times New Roman" w:hAnsi="inherit" w:cs="Arial"/>
          <w:b/>
          <w:bCs/>
          <w:color w:val="000000"/>
          <w:sz w:val="24"/>
          <w:szCs w:val="24"/>
        </w:rPr>
        <w:t xml:space="preserve">Browser hosts and keyboard events </w:t>
      </w:r>
    </w:p>
    <w:p w:rsidR="00DC0CCC" w:rsidRPr="00DC0CCC" w:rsidRDefault="00DC0CCC" w:rsidP="00DC0CCC">
      <w:pPr>
        <w:spacing w:before="240" w:after="240" w:line="240" w:lineRule="auto"/>
        <w:ind w:left="240"/>
        <w:rPr>
          <w:rFonts w:ascii="Arial" w:eastAsia="Times New Roman" w:hAnsi="Arial" w:cs="Arial"/>
          <w:color w:val="000000"/>
          <w:sz w:val="24"/>
          <w:szCs w:val="24"/>
        </w:rPr>
      </w:pPr>
      <w:r w:rsidRPr="00DC0CCC">
        <w:rPr>
          <w:rFonts w:ascii="Arial" w:eastAsia="Times New Roman" w:hAnsi="Arial" w:cs="Arial"/>
          <w:color w:val="000000"/>
          <w:sz w:val="24"/>
          <w:szCs w:val="24"/>
        </w:rPr>
        <w:t xml:space="preserve">Silverlight is hosted as a plug-in inside a browser host. The Silverlight runtime only receives the input events that the browser host forwards to hosted plug-ins through a browser-specific program access layer. Occasionally the browser host receives input that the browser host itself handles in some way, and does not forward the keyboard event. An example is that a Silverlight application hosted by an Internet Explorer browser host on Windows operating system cannot detect a press of the ALT key, because Internet Explorer processes this input and performs the action of bringing keyboard focus to the Internet Explorer menu bar. Silverlight authors might need to be aware of browser-specific input handling models and not rely on key events for keys that are essentially reserved for use by a browser host. For more information, see </w:t>
      </w:r>
      <w:hyperlink r:id="rId7" w:history="1">
        <w:r w:rsidRPr="00DC0CCC">
          <w:rPr>
            <w:rFonts w:ascii="Arial" w:eastAsia="Times New Roman" w:hAnsi="Arial" w:cs="Arial"/>
            <w:color w:val="0000FF"/>
            <w:sz w:val="24"/>
            <w:szCs w:val="24"/>
            <w:u w:val="single"/>
          </w:rPr>
          <w:t>Keyboard Support</w:t>
        </w:r>
      </w:hyperlink>
      <w:r w:rsidRPr="00DC0CCC">
        <w:rPr>
          <w:rFonts w:ascii="Arial" w:eastAsia="Times New Roman" w:hAnsi="Arial" w:cs="Arial"/>
          <w:color w:val="000000"/>
          <w:sz w:val="24"/>
          <w:szCs w:val="24"/>
        </w:rPr>
        <w:t xml:space="preserve">. </w:t>
      </w:r>
    </w:p>
    <w:p w:rsidR="00DC0CCC" w:rsidRPr="00DC0CCC" w:rsidRDefault="00DC0CCC" w:rsidP="00DC0CCC">
      <w:pPr>
        <w:spacing w:before="240" w:after="240" w:line="240" w:lineRule="auto"/>
        <w:ind w:left="240"/>
        <w:rPr>
          <w:rFonts w:ascii="Arial" w:eastAsia="Times New Roman" w:hAnsi="Arial" w:cs="Arial"/>
          <w:color w:val="000000"/>
          <w:sz w:val="24"/>
          <w:szCs w:val="24"/>
        </w:rPr>
      </w:pPr>
      <w:r w:rsidRPr="00DC0CCC">
        <w:rPr>
          <w:rFonts w:ascii="Arial" w:eastAsia="Times New Roman" w:hAnsi="Arial" w:cs="Arial"/>
          <w:color w:val="000000"/>
          <w:sz w:val="24"/>
          <w:szCs w:val="24"/>
        </w:rPr>
        <w:t xml:space="preserve">Application authors should choose keys that avoid browser conflicts, but still are a natural choice for an accelerator. Using the CTRL key as a modifier is a convention that is frequently used in existing Silverlight applications. </w:t>
      </w:r>
    </w:p>
    <w:p w:rsidR="00DC0CCC" w:rsidRPr="00DC0CCC" w:rsidRDefault="00DC0CCC" w:rsidP="00DC0CCC">
      <w:pPr>
        <w:keepNext/>
        <w:spacing w:before="100" w:beforeAutospacing="1" w:after="0" w:line="240" w:lineRule="auto"/>
        <w:outlineLvl w:val="3"/>
        <w:rPr>
          <w:rFonts w:ascii="inherit" w:eastAsia="Times New Roman" w:hAnsi="inherit" w:cs="Arial"/>
          <w:b/>
          <w:bCs/>
          <w:color w:val="000000"/>
          <w:sz w:val="24"/>
          <w:szCs w:val="24"/>
        </w:rPr>
      </w:pPr>
      <w:r w:rsidRPr="00DC0CCC">
        <w:rPr>
          <w:rFonts w:ascii="inherit" w:eastAsia="Times New Roman" w:hAnsi="inherit" w:cs="Arial"/>
          <w:b/>
          <w:bCs/>
          <w:color w:val="000000"/>
          <w:sz w:val="24"/>
          <w:szCs w:val="24"/>
        </w:rPr>
        <w:lastRenderedPageBreak/>
        <w:t xml:space="preserve">Informing users of which keys to use for keyboard equivalence </w:t>
      </w:r>
    </w:p>
    <w:p w:rsidR="00DC0CCC" w:rsidRPr="00DC0CCC" w:rsidRDefault="00DC0CCC" w:rsidP="00DC0CCC">
      <w:pPr>
        <w:spacing w:before="240" w:after="240" w:line="240" w:lineRule="auto"/>
        <w:ind w:left="240"/>
        <w:rPr>
          <w:rFonts w:ascii="Arial" w:eastAsia="Times New Roman" w:hAnsi="Arial" w:cs="Arial"/>
          <w:color w:val="000000"/>
          <w:sz w:val="24"/>
          <w:szCs w:val="24"/>
        </w:rPr>
      </w:pPr>
      <w:r w:rsidRPr="00DC0CCC">
        <w:rPr>
          <w:rFonts w:ascii="Arial" w:eastAsia="Times New Roman" w:hAnsi="Arial" w:cs="Arial"/>
          <w:color w:val="000000"/>
          <w:sz w:val="24"/>
          <w:szCs w:val="24"/>
        </w:rPr>
        <w:t xml:space="preserve">If a control supports user interaction, which key to use to engage the keyboard equivalent behavior is not always obvious. One way to inform users of the possible key options that a control supports is to author an </w:t>
      </w:r>
      <w:proofErr w:type="spellStart"/>
      <w:r w:rsidRPr="00DC0CCC">
        <w:rPr>
          <w:rFonts w:ascii="Courier New" w:eastAsia="Times New Roman" w:hAnsi="Courier New" w:cs="Courier New"/>
          <w:color w:val="000000"/>
        </w:rPr>
        <w:t>AutomationProperties.HelpText</w:t>
      </w:r>
      <w:proofErr w:type="spellEnd"/>
      <w:r w:rsidRPr="00DC0CCC">
        <w:rPr>
          <w:rFonts w:ascii="Arial" w:eastAsia="Times New Roman" w:hAnsi="Arial" w:cs="Arial"/>
          <w:color w:val="000000"/>
          <w:sz w:val="24"/>
          <w:szCs w:val="24"/>
        </w:rPr>
        <w:t xml:space="preserve"> value in the application UI that gives instructions such as "Press the plus key to increment value". This is up to the application author to do; the control definitions do not provide a means to set </w:t>
      </w:r>
      <w:proofErr w:type="spellStart"/>
      <w:r w:rsidRPr="00DC0CCC">
        <w:rPr>
          <w:rFonts w:ascii="Arial" w:eastAsia="Times New Roman" w:hAnsi="Arial" w:cs="Arial"/>
          <w:color w:val="000000"/>
          <w:sz w:val="24"/>
          <w:szCs w:val="24"/>
        </w:rPr>
        <w:t>HelpText</w:t>
      </w:r>
      <w:proofErr w:type="spellEnd"/>
      <w:r w:rsidRPr="00DC0CCC">
        <w:rPr>
          <w:rFonts w:ascii="Arial" w:eastAsia="Times New Roman" w:hAnsi="Arial" w:cs="Arial"/>
          <w:color w:val="000000"/>
          <w:sz w:val="24"/>
          <w:szCs w:val="24"/>
        </w:rPr>
        <w:t xml:space="preserve"> by default, because any display technique for end user help is potentially too application-specific to be encapsulated in control definitions. Application authors might also consider using tooltips, providing a menu framework that visually indicates the key associations (perhaps with the Windows key-underlined convention), providing a generalized application Help, or displaying plain text in the user interface. </w:t>
      </w:r>
    </w:p>
    <w:p w:rsidR="00DC0CCC" w:rsidRPr="00DC0CCC" w:rsidRDefault="00DC0CCC" w:rsidP="00DC0CCC">
      <w:pPr>
        <w:keepNext/>
        <w:spacing w:before="100" w:beforeAutospacing="1" w:after="0" w:line="240" w:lineRule="auto"/>
        <w:outlineLvl w:val="3"/>
        <w:rPr>
          <w:rFonts w:ascii="inherit" w:eastAsia="Times New Roman" w:hAnsi="inherit" w:cs="Arial"/>
          <w:b/>
          <w:bCs/>
          <w:color w:val="000000"/>
          <w:sz w:val="24"/>
          <w:szCs w:val="24"/>
        </w:rPr>
      </w:pPr>
      <w:r w:rsidRPr="00DC0CCC">
        <w:rPr>
          <w:rFonts w:ascii="inherit" w:eastAsia="Times New Roman" w:hAnsi="inherit" w:cs="Arial"/>
          <w:b/>
          <w:bCs/>
          <w:color w:val="000000"/>
          <w:sz w:val="24"/>
          <w:szCs w:val="24"/>
        </w:rPr>
        <w:t xml:space="preserve">The On* method pattern in Silverlight </w:t>
      </w:r>
    </w:p>
    <w:p w:rsidR="00DC0CCC" w:rsidRPr="00DC0CCC" w:rsidRDefault="00DC0CCC" w:rsidP="00DC0CCC">
      <w:pPr>
        <w:spacing w:before="240" w:after="240" w:line="240" w:lineRule="auto"/>
        <w:ind w:left="240"/>
        <w:rPr>
          <w:rFonts w:ascii="Arial" w:eastAsia="Times New Roman" w:hAnsi="Arial" w:cs="Arial"/>
          <w:color w:val="000000"/>
          <w:sz w:val="24"/>
          <w:szCs w:val="24"/>
        </w:rPr>
      </w:pPr>
      <w:r w:rsidRPr="00DC0CCC">
        <w:rPr>
          <w:rFonts w:ascii="Arial" w:eastAsia="Times New Roman" w:hAnsi="Arial" w:cs="Arial"/>
          <w:color w:val="000000"/>
          <w:sz w:val="24"/>
          <w:szCs w:val="24"/>
        </w:rPr>
        <w:t xml:space="preserve">Silverlight classes often have methods that follow the naming pattern </w:t>
      </w:r>
      <w:r w:rsidRPr="00DC0CCC">
        <w:rPr>
          <w:rFonts w:ascii="Courier New" w:eastAsia="Times New Roman" w:hAnsi="Courier New" w:cs="Courier New"/>
          <w:color w:val="000000"/>
        </w:rPr>
        <w:t>On*</w:t>
      </w:r>
      <w:r w:rsidRPr="00DC0CCC">
        <w:rPr>
          <w:rFonts w:ascii="Arial" w:eastAsia="Times New Roman" w:hAnsi="Arial" w:cs="Arial"/>
          <w:color w:val="000000"/>
          <w:sz w:val="24"/>
          <w:szCs w:val="24"/>
        </w:rPr>
        <w:t xml:space="preserve"> where the star is a string that also identifies an event. These </w:t>
      </w:r>
      <w:r w:rsidRPr="00DC0CCC">
        <w:rPr>
          <w:rFonts w:ascii="Courier New" w:eastAsia="Times New Roman" w:hAnsi="Courier New" w:cs="Courier New"/>
          <w:color w:val="000000"/>
        </w:rPr>
        <w:t>On*</w:t>
      </w:r>
      <w:r w:rsidRPr="00DC0CCC">
        <w:rPr>
          <w:rFonts w:ascii="Arial" w:eastAsia="Times New Roman" w:hAnsi="Arial" w:cs="Arial"/>
          <w:color w:val="000000"/>
          <w:sz w:val="24"/>
          <w:szCs w:val="24"/>
        </w:rPr>
        <w:t xml:space="preserve"> methods are prewired event handlers, defined as virtual methods so that subclasses can override them. A consumer of a control class can change or augment the default behavior associated with that event by overriding the method, and typically also calls the base implementation so that the base functionality is preserved. This principle is illustrated in Example 1 by the overrides of </w:t>
      </w:r>
      <w:proofErr w:type="spellStart"/>
      <w:r w:rsidRPr="00DC0CCC">
        <w:rPr>
          <w:rFonts w:ascii="Courier New" w:eastAsia="Times New Roman" w:hAnsi="Courier New" w:cs="Courier New"/>
          <w:color w:val="000000"/>
        </w:rPr>
        <w:t>OnGotFocus</w:t>
      </w:r>
      <w:proofErr w:type="spellEnd"/>
      <w:r w:rsidRPr="00DC0CCC">
        <w:rPr>
          <w:rFonts w:ascii="Arial" w:eastAsia="Times New Roman" w:hAnsi="Arial" w:cs="Arial"/>
          <w:color w:val="000000"/>
          <w:sz w:val="24"/>
          <w:szCs w:val="24"/>
        </w:rPr>
        <w:t xml:space="preserve"> and </w:t>
      </w:r>
      <w:proofErr w:type="spellStart"/>
      <w:r w:rsidRPr="00DC0CCC">
        <w:rPr>
          <w:rFonts w:ascii="Courier New" w:eastAsia="Times New Roman" w:hAnsi="Courier New" w:cs="Courier New"/>
          <w:color w:val="000000"/>
        </w:rPr>
        <w:t>OnLostFocus</w:t>
      </w:r>
      <w:proofErr w:type="spellEnd"/>
      <w:r w:rsidRPr="00DC0CCC">
        <w:rPr>
          <w:rFonts w:ascii="Arial" w:eastAsia="Times New Roman" w:hAnsi="Arial" w:cs="Arial"/>
          <w:color w:val="000000"/>
          <w:sz w:val="24"/>
          <w:szCs w:val="24"/>
        </w:rPr>
        <w:t xml:space="preserve">. Controls that introduce new events should consider also exposing a virtual </w:t>
      </w:r>
      <w:r w:rsidRPr="00DC0CCC">
        <w:rPr>
          <w:rFonts w:ascii="Courier New" w:eastAsia="Times New Roman" w:hAnsi="Courier New" w:cs="Courier New"/>
          <w:color w:val="000000"/>
        </w:rPr>
        <w:t>On*</w:t>
      </w:r>
      <w:r w:rsidRPr="00DC0CCC">
        <w:rPr>
          <w:rFonts w:ascii="Arial" w:eastAsia="Times New Roman" w:hAnsi="Arial" w:cs="Arial"/>
          <w:color w:val="000000"/>
          <w:sz w:val="24"/>
          <w:szCs w:val="24"/>
        </w:rPr>
        <w:t xml:space="preserve"> method that pairs with the event, so that consumers of the custom control can use the same pattern.</w:t>
      </w:r>
    </w:p>
    <w:p w:rsidR="00DC0CCC" w:rsidRDefault="00DC0CCC">
      <w:bookmarkStart w:id="0" w:name="FLASH17"/>
      <w:bookmarkStart w:id="1" w:name="_GoBack"/>
      <w:bookmarkEnd w:id="0"/>
      <w:bookmarkEnd w:id="1"/>
    </w:p>
    <w:sectPr w:rsidR="00DC0CC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96577"/>
    <w:multiLevelType w:val="multilevel"/>
    <w:tmpl w:val="98C443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CA477FD"/>
    <w:multiLevelType w:val="multilevel"/>
    <w:tmpl w:val="D7486D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0A506F6"/>
    <w:multiLevelType w:val="multilevel"/>
    <w:tmpl w:val="6B3694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17C3C5E"/>
    <w:multiLevelType w:val="multilevel"/>
    <w:tmpl w:val="534CF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77C0B53"/>
    <w:multiLevelType w:val="multilevel"/>
    <w:tmpl w:val="3CB44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1357B67"/>
    <w:multiLevelType w:val="multilevel"/>
    <w:tmpl w:val="C06EE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1551FC3"/>
    <w:multiLevelType w:val="multilevel"/>
    <w:tmpl w:val="6FE2B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3E868D4"/>
    <w:multiLevelType w:val="multilevel"/>
    <w:tmpl w:val="D9B20A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42B55CF"/>
    <w:multiLevelType w:val="multilevel"/>
    <w:tmpl w:val="3CD2A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E7654C4"/>
    <w:multiLevelType w:val="multilevel"/>
    <w:tmpl w:val="54023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21F0C8B"/>
    <w:multiLevelType w:val="multilevel"/>
    <w:tmpl w:val="BFD627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5BB063C"/>
    <w:multiLevelType w:val="multilevel"/>
    <w:tmpl w:val="DA3A8A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675595E"/>
    <w:multiLevelType w:val="multilevel"/>
    <w:tmpl w:val="7B0883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11"/>
  </w:num>
  <w:num w:numId="3">
    <w:abstractNumId w:val="4"/>
  </w:num>
  <w:num w:numId="4">
    <w:abstractNumId w:val="0"/>
  </w:num>
  <w:num w:numId="5">
    <w:abstractNumId w:val="6"/>
  </w:num>
  <w:num w:numId="6">
    <w:abstractNumId w:val="1"/>
  </w:num>
  <w:num w:numId="7">
    <w:abstractNumId w:val="12"/>
  </w:num>
  <w:num w:numId="8">
    <w:abstractNumId w:val="3"/>
  </w:num>
  <w:num w:numId="9">
    <w:abstractNumId w:val="2"/>
  </w:num>
  <w:num w:numId="10">
    <w:abstractNumId w:val="9"/>
  </w:num>
  <w:num w:numId="11">
    <w:abstractNumId w:val="7"/>
  </w:num>
  <w:num w:numId="12">
    <w:abstractNumId w:val="8"/>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CCC"/>
    <w:rsid w:val="00225C1E"/>
    <w:rsid w:val="007549C1"/>
    <w:rsid w:val="00906F8C"/>
    <w:rsid w:val="00BA1711"/>
    <w:rsid w:val="00C075D2"/>
    <w:rsid w:val="00DC0CCC"/>
    <w:rsid w:val="00F05E2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DC0CCC"/>
    <w:pPr>
      <w:keepNext/>
      <w:spacing w:before="100" w:beforeAutospacing="1" w:after="100" w:afterAutospacing="1" w:line="240" w:lineRule="auto"/>
      <w:outlineLvl w:val="0"/>
    </w:pPr>
    <w:rPr>
      <w:rFonts w:ascii="inherit" w:eastAsia="Times New Roman" w:hAnsi="inherit" w:cs="Times New Roman"/>
      <w:b/>
      <w:bCs/>
      <w:color w:val="005A9C"/>
      <w:kern w:val="36"/>
      <w:sz w:val="41"/>
      <w:szCs w:val="41"/>
    </w:rPr>
  </w:style>
  <w:style w:type="paragraph" w:styleId="Heading2">
    <w:name w:val="heading 2"/>
    <w:basedOn w:val="Normal"/>
    <w:link w:val="Heading2Char"/>
    <w:uiPriority w:val="9"/>
    <w:qFormat/>
    <w:rsid w:val="00DC0CCC"/>
    <w:pPr>
      <w:keepNext/>
      <w:pBdr>
        <w:bottom w:val="single" w:sz="6" w:space="3" w:color="666666"/>
      </w:pBdr>
      <w:spacing w:before="100" w:beforeAutospacing="1" w:after="100" w:afterAutospacing="1" w:line="240" w:lineRule="auto"/>
      <w:outlineLvl w:val="1"/>
    </w:pPr>
    <w:rPr>
      <w:rFonts w:ascii="inherit" w:eastAsia="Times New Roman" w:hAnsi="inherit" w:cs="Times New Roman"/>
      <w:b/>
      <w:bCs/>
      <w:color w:val="000000"/>
      <w:sz w:val="31"/>
      <w:szCs w:val="31"/>
    </w:rPr>
  </w:style>
  <w:style w:type="paragraph" w:styleId="Heading4">
    <w:name w:val="heading 4"/>
    <w:basedOn w:val="Normal"/>
    <w:link w:val="Heading4Char"/>
    <w:uiPriority w:val="9"/>
    <w:qFormat/>
    <w:rsid w:val="00DC0CCC"/>
    <w:pPr>
      <w:keepNext/>
      <w:spacing w:before="100" w:beforeAutospacing="1" w:after="0" w:line="240" w:lineRule="auto"/>
      <w:outlineLvl w:val="3"/>
    </w:pPr>
    <w:rPr>
      <w:rFonts w:ascii="inherit" w:eastAsia="Times New Roman" w:hAnsi="inherit" w:cs="Times New Roman"/>
      <w:b/>
      <w:bC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C0CCC"/>
    <w:rPr>
      <w:rFonts w:ascii="inherit" w:eastAsia="Times New Roman" w:hAnsi="inherit" w:cs="Times New Roman"/>
      <w:b/>
      <w:bCs/>
      <w:color w:val="005A9C"/>
      <w:kern w:val="36"/>
      <w:sz w:val="41"/>
      <w:szCs w:val="41"/>
    </w:rPr>
  </w:style>
  <w:style w:type="character" w:customStyle="1" w:styleId="Heading2Char">
    <w:name w:val="Heading 2 Char"/>
    <w:basedOn w:val="DefaultParagraphFont"/>
    <w:link w:val="Heading2"/>
    <w:uiPriority w:val="9"/>
    <w:rsid w:val="00DC0CCC"/>
    <w:rPr>
      <w:rFonts w:ascii="inherit" w:eastAsia="Times New Roman" w:hAnsi="inherit" w:cs="Times New Roman"/>
      <w:b/>
      <w:bCs/>
      <w:color w:val="000000"/>
      <w:sz w:val="31"/>
      <w:szCs w:val="31"/>
    </w:rPr>
  </w:style>
  <w:style w:type="character" w:customStyle="1" w:styleId="Heading4Char">
    <w:name w:val="Heading 4 Char"/>
    <w:basedOn w:val="DefaultParagraphFont"/>
    <w:link w:val="Heading4"/>
    <w:uiPriority w:val="9"/>
    <w:rsid w:val="00DC0CCC"/>
    <w:rPr>
      <w:rFonts w:ascii="inherit" w:eastAsia="Times New Roman" w:hAnsi="inherit" w:cs="Times New Roman"/>
      <w:b/>
      <w:bCs/>
      <w:color w:val="000000"/>
      <w:sz w:val="24"/>
      <w:szCs w:val="24"/>
    </w:rPr>
  </w:style>
  <w:style w:type="character" w:styleId="Hyperlink">
    <w:name w:val="Hyperlink"/>
    <w:basedOn w:val="DefaultParagraphFont"/>
    <w:uiPriority w:val="99"/>
    <w:semiHidden/>
    <w:unhideWhenUsed/>
    <w:rsid w:val="00DC0CCC"/>
    <w:rPr>
      <w:color w:val="0000FF"/>
      <w:u w:val="single"/>
    </w:rPr>
  </w:style>
  <w:style w:type="character" w:styleId="HTMLCode">
    <w:name w:val="HTML Code"/>
    <w:basedOn w:val="DefaultParagraphFont"/>
    <w:uiPriority w:val="99"/>
    <w:semiHidden/>
    <w:unhideWhenUsed/>
    <w:rsid w:val="00DC0CCC"/>
    <w:rPr>
      <w:rFonts w:ascii="Courier New" w:eastAsia="Times New Roman" w:hAnsi="Courier New" w:cs="Courier New" w:hint="default"/>
      <w:caps w:val="0"/>
      <w:sz w:val="22"/>
      <w:szCs w:val="22"/>
    </w:rPr>
  </w:style>
  <w:style w:type="paragraph" w:styleId="NormalWeb">
    <w:name w:val="Normal (Web)"/>
    <w:basedOn w:val="Normal"/>
    <w:uiPriority w:val="99"/>
    <w:semiHidden/>
    <w:unhideWhenUsed/>
    <w:rsid w:val="00DC0CCC"/>
    <w:pPr>
      <w:spacing w:before="240" w:after="240" w:line="240" w:lineRule="auto"/>
      <w:ind w:left="240"/>
    </w:pPr>
    <w:rPr>
      <w:rFonts w:ascii="Times New Roman" w:eastAsia="Times New Roman" w:hAnsi="Times New Roman" w:cs="Times New Roman"/>
      <w:color w:val="000000"/>
      <w:sz w:val="24"/>
      <w:szCs w:val="24"/>
    </w:rPr>
  </w:style>
  <w:style w:type="paragraph" w:customStyle="1" w:styleId="referenced">
    <w:name w:val="referenced"/>
    <w:basedOn w:val="Normal"/>
    <w:rsid w:val="00DC0CCC"/>
    <w:pPr>
      <w:spacing w:before="240" w:after="240" w:line="240" w:lineRule="auto"/>
      <w:ind w:left="240"/>
    </w:pPr>
    <w:rPr>
      <w:rFonts w:ascii="Times New Roman" w:eastAsia="Times New Roman" w:hAnsi="Times New Roman" w:cs="Times New Roman"/>
      <w:color w:val="000000"/>
      <w:sz w:val="24"/>
      <w:szCs w:val="24"/>
    </w:rPr>
  </w:style>
  <w:style w:type="character" w:styleId="Emphasis">
    <w:name w:val="Emphasis"/>
    <w:basedOn w:val="DefaultParagraphFont"/>
    <w:uiPriority w:val="20"/>
    <w:qFormat/>
    <w:rsid w:val="00DC0CCC"/>
    <w:rPr>
      <w:i/>
      <w:iCs/>
    </w:rPr>
  </w:style>
  <w:style w:type="paragraph" w:customStyle="1" w:styleId="prefix2">
    <w:name w:val="prefix2"/>
    <w:basedOn w:val="Normal"/>
    <w:rsid w:val="00DC0CCC"/>
    <w:pPr>
      <w:spacing w:before="60" w:after="120" w:line="240" w:lineRule="auto"/>
    </w:pPr>
    <w:rPr>
      <w:rFonts w:ascii="Times New Roman" w:eastAsia="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DC0CCC"/>
    <w:pPr>
      <w:keepNext/>
      <w:spacing w:before="100" w:beforeAutospacing="1" w:after="100" w:afterAutospacing="1" w:line="240" w:lineRule="auto"/>
      <w:outlineLvl w:val="0"/>
    </w:pPr>
    <w:rPr>
      <w:rFonts w:ascii="inherit" w:eastAsia="Times New Roman" w:hAnsi="inherit" w:cs="Times New Roman"/>
      <w:b/>
      <w:bCs/>
      <w:color w:val="005A9C"/>
      <w:kern w:val="36"/>
      <w:sz w:val="41"/>
      <w:szCs w:val="41"/>
    </w:rPr>
  </w:style>
  <w:style w:type="paragraph" w:styleId="Heading2">
    <w:name w:val="heading 2"/>
    <w:basedOn w:val="Normal"/>
    <w:link w:val="Heading2Char"/>
    <w:uiPriority w:val="9"/>
    <w:qFormat/>
    <w:rsid w:val="00DC0CCC"/>
    <w:pPr>
      <w:keepNext/>
      <w:pBdr>
        <w:bottom w:val="single" w:sz="6" w:space="3" w:color="666666"/>
      </w:pBdr>
      <w:spacing w:before="100" w:beforeAutospacing="1" w:after="100" w:afterAutospacing="1" w:line="240" w:lineRule="auto"/>
      <w:outlineLvl w:val="1"/>
    </w:pPr>
    <w:rPr>
      <w:rFonts w:ascii="inherit" w:eastAsia="Times New Roman" w:hAnsi="inherit" w:cs="Times New Roman"/>
      <w:b/>
      <w:bCs/>
      <w:color w:val="000000"/>
      <w:sz w:val="31"/>
      <w:szCs w:val="31"/>
    </w:rPr>
  </w:style>
  <w:style w:type="paragraph" w:styleId="Heading4">
    <w:name w:val="heading 4"/>
    <w:basedOn w:val="Normal"/>
    <w:link w:val="Heading4Char"/>
    <w:uiPriority w:val="9"/>
    <w:qFormat/>
    <w:rsid w:val="00DC0CCC"/>
    <w:pPr>
      <w:keepNext/>
      <w:spacing w:before="100" w:beforeAutospacing="1" w:after="0" w:line="240" w:lineRule="auto"/>
      <w:outlineLvl w:val="3"/>
    </w:pPr>
    <w:rPr>
      <w:rFonts w:ascii="inherit" w:eastAsia="Times New Roman" w:hAnsi="inherit" w:cs="Times New Roman"/>
      <w:b/>
      <w:bC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C0CCC"/>
    <w:rPr>
      <w:rFonts w:ascii="inherit" w:eastAsia="Times New Roman" w:hAnsi="inherit" w:cs="Times New Roman"/>
      <w:b/>
      <w:bCs/>
      <w:color w:val="005A9C"/>
      <w:kern w:val="36"/>
      <w:sz w:val="41"/>
      <w:szCs w:val="41"/>
    </w:rPr>
  </w:style>
  <w:style w:type="character" w:customStyle="1" w:styleId="Heading2Char">
    <w:name w:val="Heading 2 Char"/>
    <w:basedOn w:val="DefaultParagraphFont"/>
    <w:link w:val="Heading2"/>
    <w:uiPriority w:val="9"/>
    <w:rsid w:val="00DC0CCC"/>
    <w:rPr>
      <w:rFonts w:ascii="inherit" w:eastAsia="Times New Roman" w:hAnsi="inherit" w:cs="Times New Roman"/>
      <w:b/>
      <w:bCs/>
      <w:color w:val="000000"/>
      <w:sz w:val="31"/>
      <w:szCs w:val="31"/>
    </w:rPr>
  </w:style>
  <w:style w:type="character" w:customStyle="1" w:styleId="Heading4Char">
    <w:name w:val="Heading 4 Char"/>
    <w:basedOn w:val="DefaultParagraphFont"/>
    <w:link w:val="Heading4"/>
    <w:uiPriority w:val="9"/>
    <w:rsid w:val="00DC0CCC"/>
    <w:rPr>
      <w:rFonts w:ascii="inherit" w:eastAsia="Times New Roman" w:hAnsi="inherit" w:cs="Times New Roman"/>
      <w:b/>
      <w:bCs/>
      <w:color w:val="000000"/>
      <w:sz w:val="24"/>
      <w:szCs w:val="24"/>
    </w:rPr>
  </w:style>
  <w:style w:type="character" w:styleId="Hyperlink">
    <w:name w:val="Hyperlink"/>
    <w:basedOn w:val="DefaultParagraphFont"/>
    <w:uiPriority w:val="99"/>
    <w:semiHidden/>
    <w:unhideWhenUsed/>
    <w:rsid w:val="00DC0CCC"/>
    <w:rPr>
      <w:color w:val="0000FF"/>
      <w:u w:val="single"/>
    </w:rPr>
  </w:style>
  <w:style w:type="character" w:styleId="HTMLCode">
    <w:name w:val="HTML Code"/>
    <w:basedOn w:val="DefaultParagraphFont"/>
    <w:uiPriority w:val="99"/>
    <w:semiHidden/>
    <w:unhideWhenUsed/>
    <w:rsid w:val="00DC0CCC"/>
    <w:rPr>
      <w:rFonts w:ascii="Courier New" w:eastAsia="Times New Roman" w:hAnsi="Courier New" w:cs="Courier New" w:hint="default"/>
      <w:caps w:val="0"/>
      <w:sz w:val="22"/>
      <w:szCs w:val="22"/>
    </w:rPr>
  </w:style>
  <w:style w:type="paragraph" w:styleId="NormalWeb">
    <w:name w:val="Normal (Web)"/>
    <w:basedOn w:val="Normal"/>
    <w:uiPriority w:val="99"/>
    <w:semiHidden/>
    <w:unhideWhenUsed/>
    <w:rsid w:val="00DC0CCC"/>
    <w:pPr>
      <w:spacing w:before="240" w:after="240" w:line="240" w:lineRule="auto"/>
      <w:ind w:left="240"/>
    </w:pPr>
    <w:rPr>
      <w:rFonts w:ascii="Times New Roman" w:eastAsia="Times New Roman" w:hAnsi="Times New Roman" w:cs="Times New Roman"/>
      <w:color w:val="000000"/>
      <w:sz w:val="24"/>
      <w:szCs w:val="24"/>
    </w:rPr>
  </w:style>
  <w:style w:type="paragraph" w:customStyle="1" w:styleId="referenced">
    <w:name w:val="referenced"/>
    <w:basedOn w:val="Normal"/>
    <w:rsid w:val="00DC0CCC"/>
    <w:pPr>
      <w:spacing w:before="240" w:after="240" w:line="240" w:lineRule="auto"/>
      <w:ind w:left="240"/>
    </w:pPr>
    <w:rPr>
      <w:rFonts w:ascii="Times New Roman" w:eastAsia="Times New Roman" w:hAnsi="Times New Roman" w:cs="Times New Roman"/>
      <w:color w:val="000000"/>
      <w:sz w:val="24"/>
      <w:szCs w:val="24"/>
    </w:rPr>
  </w:style>
  <w:style w:type="character" w:styleId="Emphasis">
    <w:name w:val="Emphasis"/>
    <w:basedOn w:val="DefaultParagraphFont"/>
    <w:uiPriority w:val="20"/>
    <w:qFormat/>
    <w:rsid w:val="00DC0CCC"/>
    <w:rPr>
      <w:i/>
      <w:iCs/>
    </w:rPr>
  </w:style>
  <w:style w:type="paragraph" w:customStyle="1" w:styleId="prefix2">
    <w:name w:val="prefix2"/>
    <w:basedOn w:val="Normal"/>
    <w:rsid w:val="00DC0CCC"/>
    <w:pPr>
      <w:spacing w:before="60" w:after="12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5966272">
      <w:bodyDiv w:val="1"/>
      <w:marLeft w:val="0"/>
      <w:marRight w:val="0"/>
      <w:marTop w:val="0"/>
      <w:marBottom w:val="0"/>
      <w:divBdr>
        <w:top w:val="none" w:sz="0" w:space="0" w:color="auto"/>
        <w:left w:val="none" w:sz="0" w:space="0" w:color="auto"/>
        <w:bottom w:val="none" w:sz="0" w:space="0" w:color="auto"/>
        <w:right w:val="none" w:sz="0" w:space="0" w:color="auto"/>
      </w:divBdr>
      <w:divsChild>
        <w:div w:id="209924665">
          <w:marLeft w:val="0"/>
          <w:marRight w:val="0"/>
          <w:marTop w:val="0"/>
          <w:marBottom w:val="0"/>
          <w:divBdr>
            <w:top w:val="none" w:sz="0" w:space="0" w:color="auto"/>
            <w:left w:val="none" w:sz="0" w:space="0" w:color="auto"/>
            <w:bottom w:val="none" w:sz="0" w:space="0" w:color="auto"/>
            <w:right w:val="none" w:sz="0" w:space="0" w:color="auto"/>
          </w:divBdr>
        </w:div>
        <w:div w:id="425227117">
          <w:marLeft w:val="0"/>
          <w:marRight w:val="0"/>
          <w:marTop w:val="0"/>
          <w:marBottom w:val="0"/>
          <w:divBdr>
            <w:top w:val="none" w:sz="0" w:space="0" w:color="auto"/>
            <w:left w:val="none" w:sz="0" w:space="0" w:color="auto"/>
            <w:bottom w:val="none" w:sz="0" w:space="0" w:color="auto"/>
            <w:right w:val="none" w:sz="0" w:space="0" w:color="auto"/>
          </w:divBdr>
          <w:divsChild>
            <w:div w:id="1303997551">
              <w:marLeft w:val="0"/>
              <w:marRight w:val="0"/>
              <w:marTop w:val="0"/>
              <w:marBottom w:val="0"/>
              <w:divBdr>
                <w:top w:val="none" w:sz="0" w:space="0" w:color="auto"/>
                <w:left w:val="none" w:sz="0" w:space="0" w:color="auto"/>
                <w:bottom w:val="none" w:sz="0" w:space="0" w:color="auto"/>
                <w:right w:val="none" w:sz="0" w:space="0" w:color="auto"/>
              </w:divBdr>
            </w:div>
          </w:divsChild>
        </w:div>
        <w:div w:id="851189923">
          <w:marLeft w:val="240"/>
          <w:marRight w:val="0"/>
          <w:marTop w:val="0"/>
          <w:marBottom w:val="120"/>
          <w:divBdr>
            <w:top w:val="none" w:sz="0" w:space="0" w:color="auto"/>
            <w:left w:val="single" w:sz="48" w:space="6" w:color="52E052"/>
            <w:bottom w:val="none" w:sz="0" w:space="0" w:color="auto"/>
            <w:right w:val="none" w:sz="0" w:space="0" w:color="auto"/>
          </w:divBdr>
        </w:div>
        <w:div w:id="383873585">
          <w:marLeft w:val="240"/>
          <w:marRight w:val="0"/>
          <w:marTop w:val="0"/>
          <w:marBottom w:val="120"/>
          <w:divBdr>
            <w:top w:val="none" w:sz="0" w:space="0" w:color="auto"/>
            <w:left w:val="single" w:sz="48" w:space="6" w:color="52E052"/>
            <w:bottom w:val="none" w:sz="0" w:space="0" w:color="auto"/>
            <w:right w:val="none" w:sz="0" w:space="0" w:color="auto"/>
          </w:divBdr>
        </w:div>
        <w:div w:id="1567498807">
          <w:marLeft w:val="0"/>
          <w:marRight w:val="0"/>
          <w:marTop w:val="0"/>
          <w:marBottom w:val="0"/>
          <w:divBdr>
            <w:top w:val="none" w:sz="0" w:space="0" w:color="auto"/>
            <w:left w:val="none" w:sz="0" w:space="0" w:color="auto"/>
            <w:bottom w:val="none" w:sz="0" w:space="0" w:color="auto"/>
            <w:right w:val="none" w:sz="0" w:space="0" w:color="auto"/>
          </w:divBdr>
        </w:div>
        <w:div w:id="494036523">
          <w:marLeft w:val="0"/>
          <w:marRight w:val="0"/>
          <w:marTop w:val="0"/>
          <w:marBottom w:val="0"/>
          <w:divBdr>
            <w:top w:val="none" w:sz="0" w:space="0" w:color="auto"/>
            <w:left w:val="none" w:sz="0" w:space="0" w:color="auto"/>
            <w:bottom w:val="none" w:sz="0" w:space="0" w:color="auto"/>
            <w:right w:val="none" w:sz="0" w:space="0" w:color="auto"/>
          </w:divBdr>
        </w:div>
      </w:divsChild>
    </w:div>
    <w:div w:id="359822762">
      <w:bodyDiv w:val="1"/>
      <w:marLeft w:val="0"/>
      <w:marRight w:val="0"/>
      <w:marTop w:val="0"/>
      <w:marBottom w:val="0"/>
      <w:divBdr>
        <w:top w:val="none" w:sz="0" w:space="0" w:color="auto"/>
        <w:left w:val="none" w:sz="0" w:space="0" w:color="auto"/>
        <w:bottom w:val="none" w:sz="0" w:space="0" w:color="auto"/>
        <w:right w:val="none" w:sz="0" w:space="0" w:color="auto"/>
      </w:divBdr>
      <w:divsChild>
        <w:div w:id="1408116159">
          <w:marLeft w:val="0"/>
          <w:marRight w:val="0"/>
          <w:marTop w:val="0"/>
          <w:marBottom w:val="0"/>
          <w:divBdr>
            <w:top w:val="none" w:sz="0" w:space="0" w:color="auto"/>
            <w:left w:val="none" w:sz="0" w:space="0" w:color="auto"/>
            <w:bottom w:val="none" w:sz="0" w:space="0" w:color="auto"/>
            <w:right w:val="none" w:sz="0" w:space="0" w:color="auto"/>
          </w:divBdr>
        </w:div>
        <w:div w:id="1897160984">
          <w:marLeft w:val="0"/>
          <w:marRight w:val="0"/>
          <w:marTop w:val="0"/>
          <w:marBottom w:val="0"/>
          <w:divBdr>
            <w:top w:val="none" w:sz="0" w:space="0" w:color="auto"/>
            <w:left w:val="none" w:sz="0" w:space="0" w:color="auto"/>
            <w:bottom w:val="none" w:sz="0" w:space="0" w:color="auto"/>
            <w:right w:val="none" w:sz="0" w:space="0" w:color="auto"/>
          </w:divBdr>
          <w:divsChild>
            <w:div w:id="66656004">
              <w:marLeft w:val="0"/>
              <w:marRight w:val="0"/>
              <w:marTop w:val="0"/>
              <w:marBottom w:val="0"/>
              <w:divBdr>
                <w:top w:val="none" w:sz="0" w:space="0" w:color="auto"/>
                <w:left w:val="none" w:sz="0" w:space="0" w:color="auto"/>
                <w:bottom w:val="none" w:sz="0" w:space="0" w:color="auto"/>
                <w:right w:val="none" w:sz="0" w:space="0" w:color="auto"/>
              </w:divBdr>
            </w:div>
          </w:divsChild>
        </w:div>
        <w:div w:id="1390226403">
          <w:marLeft w:val="240"/>
          <w:marRight w:val="0"/>
          <w:marTop w:val="0"/>
          <w:marBottom w:val="120"/>
          <w:divBdr>
            <w:top w:val="none" w:sz="0" w:space="0" w:color="auto"/>
            <w:left w:val="single" w:sz="48" w:space="6" w:color="52E052"/>
            <w:bottom w:val="none" w:sz="0" w:space="0" w:color="auto"/>
            <w:right w:val="none" w:sz="0" w:space="0" w:color="auto"/>
          </w:divBdr>
        </w:div>
        <w:div w:id="635985961">
          <w:marLeft w:val="240"/>
          <w:marRight w:val="0"/>
          <w:marTop w:val="0"/>
          <w:marBottom w:val="120"/>
          <w:divBdr>
            <w:top w:val="none" w:sz="0" w:space="0" w:color="auto"/>
            <w:left w:val="single" w:sz="48" w:space="6" w:color="52E052"/>
            <w:bottom w:val="none" w:sz="0" w:space="0" w:color="auto"/>
            <w:right w:val="none" w:sz="0" w:space="0" w:color="auto"/>
          </w:divBdr>
        </w:div>
        <w:div w:id="887452722">
          <w:marLeft w:val="0"/>
          <w:marRight w:val="0"/>
          <w:marTop w:val="0"/>
          <w:marBottom w:val="0"/>
          <w:divBdr>
            <w:top w:val="none" w:sz="0" w:space="0" w:color="auto"/>
            <w:left w:val="none" w:sz="0" w:space="0" w:color="auto"/>
            <w:bottom w:val="none" w:sz="0" w:space="0" w:color="auto"/>
            <w:right w:val="none" w:sz="0" w:space="0" w:color="auto"/>
          </w:divBdr>
        </w:div>
        <w:div w:id="1735279197">
          <w:marLeft w:val="0"/>
          <w:marRight w:val="0"/>
          <w:marTop w:val="0"/>
          <w:marBottom w:val="0"/>
          <w:divBdr>
            <w:top w:val="none" w:sz="0" w:space="0" w:color="auto"/>
            <w:left w:val="none" w:sz="0" w:space="0" w:color="auto"/>
            <w:bottom w:val="none" w:sz="0" w:space="0" w:color="auto"/>
            <w:right w:val="none" w:sz="0" w:space="0" w:color="auto"/>
          </w:divBdr>
        </w:div>
      </w:divsChild>
    </w:div>
    <w:div w:id="567884529">
      <w:bodyDiv w:val="1"/>
      <w:marLeft w:val="0"/>
      <w:marRight w:val="0"/>
      <w:marTop w:val="0"/>
      <w:marBottom w:val="0"/>
      <w:divBdr>
        <w:top w:val="none" w:sz="0" w:space="0" w:color="auto"/>
        <w:left w:val="none" w:sz="0" w:space="0" w:color="auto"/>
        <w:bottom w:val="none" w:sz="0" w:space="0" w:color="auto"/>
        <w:right w:val="none" w:sz="0" w:space="0" w:color="auto"/>
      </w:divBdr>
      <w:divsChild>
        <w:div w:id="2084792002">
          <w:marLeft w:val="0"/>
          <w:marRight w:val="0"/>
          <w:marTop w:val="0"/>
          <w:marBottom w:val="0"/>
          <w:divBdr>
            <w:top w:val="none" w:sz="0" w:space="0" w:color="auto"/>
            <w:left w:val="none" w:sz="0" w:space="0" w:color="auto"/>
            <w:bottom w:val="none" w:sz="0" w:space="0" w:color="auto"/>
            <w:right w:val="none" w:sz="0" w:space="0" w:color="auto"/>
          </w:divBdr>
        </w:div>
        <w:div w:id="902720225">
          <w:marLeft w:val="0"/>
          <w:marRight w:val="0"/>
          <w:marTop w:val="0"/>
          <w:marBottom w:val="0"/>
          <w:divBdr>
            <w:top w:val="none" w:sz="0" w:space="0" w:color="auto"/>
            <w:left w:val="none" w:sz="0" w:space="0" w:color="auto"/>
            <w:bottom w:val="none" w:sz="0" w:space="0" w:color="auto"/>
            <w:right w:val="none" w:sz="0" w:space="0" w:color="auto"/>
          </w:divBdr>
          <w:divsChild>
            <w:div w:id="375080639">
              <w:marLeft w:val="0"/>
              <w:marRight w:val="0"/>
              <w:marTop w:val="0"/>
              <w:marBottom w:val="0"/>
              <w:divBdr>
                <w:top w:val="none" w:sz="0" w:space="0" w:color="auto"/>
                <w:left w:val="none" w:sz="0" w:space="0" w:color="auto"/>
                <w:bottom w:val="none" w:sz="0" w:space="0" w:color="auto"/>
                <w:right w:val="none" w:sz="0" w:space="0" w:color="auto"/>
              </w:divBdr>
            </w:div>
          </w:divsChild>
        </w:div>
        <w:div w:id="1351251937">
          <w:marLeft w:val="240"/>
          <w:marRight w:val="0"/>
          <w:marTop w:val="0"/>
          <w:marBottom w:val="120"/>
          <w:divBdr>
            <w:top w:val="none" w:sz="0" w:space="0" w:color="auto"/>
            <w:left w:val="single" w:sz="48" w:space="6" w:color="52E052"/>
            <w:bottom w:val="none" w:sz="0" w:space="0" w:color="auto"/>
            <w:right w:val="none" w:sz="0" w:space="0" w:color="auto"/>
          </w:divBdr>
        </w:div>
        <w:div w:id="203642129">
          <w:marLeft w:val="240"/>
          <w:marRight w:val="0"/>
          <w:marTop w:val="0"/>
          <w:marBottom w:val="120"/>
          <w:divBdr>
            <w:top w:val="none" w:sz="0" w:space="0" w:color="auto"/>
            <w:left w:val="single" w:sz="48" w:space="6" w:color="52E052"/>
            <w:bottom w:val="none" w:sz="0" w:space="0" w:color="auto"/>
            <w:right w:val="none" w:sz="0" w:space="0" w:color="auto"/>
          </w:divBdr>
        </w:div>
        <w:div w:id="90517237">
          <w:marLeft w:val="0"/>
          <w:marRight w:val="0"/>
          <w:marTop w:val="0"/>
          <w:marBottom w:val="0"/>
          <w:divBdr>
            <w:top w:val="none" w:sz="0" w:space="0" w:color="auto"/>
            <w:left w:val="none" w:sz="0" w:space="0" w:color="auto"/>
            <w:bottom w:val="none" w:sz="0" w:space="0" w:color="auto"/>
            <w:right w:val="none" w:sz="0" w:space="0" w:color="auto"/>
          </w:divBdr>
        </w:div>
        <w:div w:id="2047751302">
          <w:marLeft w:val="0"/>
          <w:marRight w:val="0"/>
          <w:marTop w:val="0"/>
          <w:marBottom w:val="0"/>
          <w:divBdr>
            <w:top w:val="none" w:sz="0" w:space="0" w:color="auto"/>
            <w:left w:val="none" w:sz="0" w:space="0" w:color="auto"/>
            <w:bottom w:val="none" w:sz="0" w:space="0" w:color="auto"/>
            <w:right w:val="none" w:sz="0" w:space="0" w:color="auto"/>
          </w:divBdr>
        </w:div>
      </w:divsChild>
    </w:div>
    <w:div w:id="628366176">
      <w:bodyDiv w:val="1"/>
      <w:marLeft w:val="0"/>
      <w:marRight w:val="0"/>
      <w:marTop w:val="0"/>
      <w:marBottom w:val="0"/>
      <w:divBdr>
        <w:top w:val="none" w:sz="0" w:space="0" w:color="auto"/>
        <w:left w:val="none" w:sz="0" w:space="0" w:color="auto"/>
        <w:bottom w:val="none" w:sz="0" w:space="0" w:color="auto"/>
        <w:right w:val="none" w:sz="0" w:space="0" w:color="auto"/>
      </w:divBdr>
      <w:divsChild>
        <w:div w:id="1072045443">
          <w:marLeft w:val="0"/>
          <w:marRight w:val="0"/>
          <w:marTop w:val="0"/>
          <w:marBottom w:val="0"/>
          <w:divBdr>
            <w:top w:val="none" w:sz="0" w:space="0" w:color="auto"/>
            <w:left w:val="none" w:sz="0" w:space="0" w:color="auto"/>
            <w:bottom w:val="none" w:sz="0" w:space="0" w:color="auto"/>
            <w:right w:val="none" w:sz="0" w:space="0" w:color="auto"/>
          </w:divBdr>
        </w:div>
        <w:div w:id="950278772">
          <w:marLeft w:val="0"/>
          <w:marRight w:val="0"/>
          <w:marTop w:val="0"/>
          <w:marBottom w:val="0"/>
          <w:divBdr>
            <w:top w:val="none" w:sz="0" w:space="0" w:color="auto"/>
            <w:left w:val="none" w:sz="0" w:space="0" w:color="auto"/>
            <w:bottom w:val="none" w:sz="0" w:space="0" w:color="auto"/>
            <w:right w:val="none" w:sz="0" w:space="0" w:color="auto"/>
          </w:divBdr>
          <w:divsChild>
            <w:div w:id="763963626">
              <w:marLeft w:val="0"/>
              <w:marRight w:val="0"/>
              <w:marTop w:val="0"/>
              <w:marBottom w:val="0"/>
              <w:divBdr>
                <w:top w:val="none" w:sz="0" w:space="0" w:color="auto"/>
                <w:left w:val="none" w:sz="0" w:space="0" w:color="auto"/>
                <w:bottom w:val="none" w:sz="0" w:space="0" w:color="auto"/>
                <w:right w:val="none" w:sz="0" w:space="0" w:color="auto"/>
              </w:divBdr>
            </w:div>
          </w:divsChild>
        </w:div>
        <w:div w:id="913005148">
          <w:marLeft w:val="0"/>
          <w:marRight w:val="0"/>
          <w:marTop w:val="0"/>
          <w:marBottom w:val="0"/>
          <w:divBdr>
            <w:top w:val="none" w:sz="0" w:space="0" w:color="auto"/>
            <w:left w:val="none" w:sz="0" w:space="0" w:color="auto"/>
            <w:bottom w:val="none" w:sz="0" w:space="0" w:color="auto"/>
            <w:right w:val="none" w:sz="0" w:space="0" w:color="auto"/>
          </w:divBdr>
        </w:div>
        <w:div w:id="504174348">
          <w:marLeft w:val="0"/>
          <w:marRight w:val="0"/>
          <w:marTop w:val="0"/>
          <w:marBottom w:val="0"/>
          <w:divBdr>
            <w:top w:val="none" w:sz="0" w:space="0" w:color="auto"/>
            <w:left w:val="none" w:sz="0" w:space="0" w:color="auto"/>
            <w:bottom w:val="none" w:sz="0" w:space="0" w:color="auto"/>
            <w:right w:val="none" w:sz="0" w:space="0" w:color="auto"/>
          </w:divBdr>
          <w:divsChild>
            <w:div w:id="227035922">
              <w:marLeft w:val="0"/>
              <w:marRight w:val="0"/>
              <w:marTop w:val="0"/>
              <w:marBottom w:val="0"/>
              <w:divBdr>
                <w:top w:val="none" w:sz="0" w:space="0" w:color="auto"/>
                <w:left w:val="none" w:sz="0" w:space="0" w:color="auto"/>
                <w:bottom w:val="none" w:sz="0" w:space="0" w:color="auto"/>
                <w:right w:val="none" w:sz="0" w:space="0" w:color="auto"/>
              </w:divBdr>
            </w:div>
            <w:div w:id="175004582">
              <w:marLeft w:val="0"/>
              <w:marRight w:val="0"/>
              <w:marTop w:val="0"/>
              <w:marBottom w:val="0"/>
              <w:divBdr>
                <w:top w:val="none" w:sz="0" w:space="0" w:color="auto"/>
                <w:left w:val="none" w:sz="0" w:space="0" w:color="auto"/>
                <w:bottom w:val="none" w:sz="0" w:space="0" w:color="auto"/>
                <w:right w:val="none" w:sz="0" w:space="0" w:color="auto"/>
              </w:divBdr>
            </w:div>
            <w:div w:id="3211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348597">
      <w:bodyDiv w:val="1"/>
      <w:marLeft w:val="0"/>
      <w:marRight w:val="0"/>
      <w:marTop w:val="0"/>
      <w:marBottom w:val="0"/>
      <w:divBdr>
        <w:top w:val="none" w:sz="0" w:space="0" w:color="auto"/>
        <w:left w:val="none" w:sz="0" w:space="0" w:color="auto"/>
        <w:bottom w:val="none" w:sz="0" w:space="0" w:color="auto"/>
        <w:right w:val="none" w:sz="0" w:space="0" w:color="auto"/>
      </w:divBdr>
      <w:divsChild>
        <w:div w:id="375933971">
          <w:marLeft w:val="0"/>
          <w:marRight w:val="0"/>
          <w:marTop w:val="0"/>
          <w:marBottom w:val="0"/>
          <w:divBdr>
            <w:top w:val="none" w:sz="0" w:space="0" w:color="auto"/>
            <w:left w:val="none" w:sz="0" w:space="0" w:color="auto"/>
            <w:bottom w:val="none" w:sz="0" w:space="0" w:color="auto"/>
            <w:right w:val="none" w:sz="0" w:space="0" w:color="auto"/>
          </w:divBdr>
        </w:div>
        <w:div w:id="679159555">
          <w:marLeft w:val="0"/>
          <w:marRight w:val="0"/>
          <w:marTop w:val="0"/>
          <w:marBottom w:val="0"/>
          <w:divBdr>
            <w:top w:val="none" w:sz="0" w:space="0" w:color="auto"/>
            <w:left w:val="none" w:sz="0" w:space="0" w:color="auto"/>
            <w:bottom w:val="none" w:sz="0" w:space="0" w:color="auto"/>
            <w:right w:val="none" w:sz="0" w:space="0" w:color="auto"/>
          </w:divBdr>
          <w:divsChild>
            <w:div w:id="1120034930">
              <w:marLeft w:val="0"/>
              <w:marRight w:val="0"/>
              <w:marTop w:val="0"/>
              <w:marBottom w:val="0"/>
              <w:divBdr>
                <w:top w:val="none" w:sz="0" w:space="0" w:color="auto"/>
                <w:left w:val="none" w:sz="0" w:space="0" w:color="auto"/>
                <w:bottom w:val="none" w:sz="0" w:space="0" w:color="auto"/>
                <w:right w:val="none" w:sz="0" w:space="0" w:color="auto"/>
              </w:divBdr>
            </w:div>
          </w:divsChild>
        </w:div>
        <w:div w:id="288509165">
          <w:marLeft w:val="240"/>
          <w:marRight w:val="0"/>
          <w:marTop w:val="0"/>
          <w:marBottom w:val="120"/>
          <w:divBdr>
            <w:top w:val="none" w:sz="0" w:space="0" w:color="auto"/>
            <w:left w:val="single" w:sz="48" w:space="6" w:color="52E052"/>
            <w:bottom w:val="none" w:sz="0" w:space="0" w:color="auto"/>
            <w:right w:val="none" w:sz="0" w:space="0" w:color="auto"/>
          </w:divBdr>
        </w:div>
        <w:div w:id="943923991">
          <w:marLeft w:val="240"/>
          <w:marRight w:val="0"/>
          <w:marTop w:val="0"/>
          <w:marBottom w:val="120"/>
          <w:divBdr>
            <w:top w:val="none" w:sz="0" w:space="0" w:color="auto"/>
            <w:left w:val="single" w:sz="48" w:space="6" w:color="52E052"/>
            <w:bottom w:val="none" w:sz="0" w:space="0" w:color="auto"/>
            <w:right w:val="none" w:sz="0" w:space="0" w:color="auto"/>
          </w:divBdr>
        </w:div>
        <w:div w:id="859513330">
          <w:marLeft w:val="0"/>
          <w:marRight w:val="0"/>
          <w:marTop w:val="0"/>
          <w:marBottom w:val="0"/>
          <w:divBdr>
            <w:top w:val="none" w:sz="0" w:space="0" w:color="auto"/>
            <w:left w:val="none" w:sz="0" w:space="0" w:color="auto"/>
            <w:bottom w:val="none" w:sz="0" w:space="0" w:color="auto"/>
            <w:right w:val="none" w:sz="0" w:space="0" w:color="auto"/>
          </w:divBdr>
        </w:div>
        <w:div w:id="14585240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msdn.microsoft.com/en-us/library/cc189015(VS.95).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w3.org/TR/2016/NOTE-WCAG20-TECHS-20161007/SL2.html"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700</Words>
  <Characters>3996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aydin</dc:creator>
  <cp:keywords/>
  <dc:description/>
  <cp:lastModifiedBy>admin</cp:lastModifiedBy>
  <cp:revision>3</cp:revision>
  <dcterms:created xsi:type="dcterms:W3CDTF">2017-07-13T09:51:00Z</dcterms:created>
  <dcterms:modified xsi:type="dcterms:W3CDTF">2017-12-10T12:10:00Z</dcterms:modified>
</cp:coreProperties>
</file>